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394746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4B0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DD6">
        <w:rPr>
          <w:rFonts w:ascii="Times New Roman" w:hAnsi="Times New Roman" w:cs="Times New Roman"/>
          <w:b/>
          <w:sz w:val="24"/>
          <w:szCs w:val="24"/>
        </w:rPr>
        <w:t>PASLANMAZ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3444B0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2095736</wp:posOffset>
            </wp:positionH>
            <wp:positionV relativeFrom="paragraph">
              <wp:posOffset>142816</wp:posOffset>
            </wp:positionV>
            <wp:extent cx="1756587" cy="2307265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230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3945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3444B0">
        <w:rPr>
          <w:rFonts w:ascii="Times New Roman" w:eastAsia="Times New Roman" w:hAnsi="Times New Roman" w:cs="Times New Roman"/>
          <w:sz w:val="24"/>
          <w:szCs w:val="24"/>
          <w:lang w:eastAsia="tr-TR"/>
        </w:rPr>
        <w:t>1320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x</w:t>
      </w:r>
      <w:r w:rsidR="003444B0">
        <w:rPr>
          <w:rFonts w:ascii="Times New Roman" w:eastAsia="Times New Roman" w:hAnsi="Times New Roman" w:cs="Times New Roman"/>
          <w:sz w:val="24"/>
          <w:szCs w:val="24"/>
          <w:lang w:eastAsia="tr-TR"/>
        </w:rPr>
        <w:t>2092</w:t>
      </w:r>
      <w:r w:rsidR="001F5888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x226</w:t>
      </w:r>
      <w:r w:rsidR="003444B0">
        <w:rPr>
          <w:rFonts w:ascii="Times New Roman" w:eastAsia="Times New Roman" w:hAnsi="Times New Roman" w:cs="Times New Roman"/>
          <w:sz w:val="24"/>
          <w:szCs w:val="24"/>
          <w:lang w:eastAsia="tr-TR"/>
        </w:rPr>
        <w:t>8,5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3444B0">
        <w:rPr>
          <w:rFonts w:ascii="Times New Roman" w:hAnsi="Times New Roman" w:cs="Times New Roman"/>
          <w:sz w:val="24"/>
          <w:szCs w:val="24"/>
        </w:rPr>
        <w:t>iki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9A5E18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AISI 304 (EN 1.4301) paslanmaz çelikten imâl edilmelidir. Diğer aksam ve parçalar korozyona dayanıklı kaplama yapılmalıdır.</w:t>
      </w:r>
    </w:p>
    <w:p w:rsidR="009A5E18" w:rsidRPr="00C648B5" w:rsidRDefault="009A5E18" w:rsidP="003945F6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8B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Turnike kolları 38 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mm çapında (+-1 mm) ve en az 1.5 mm (+-0.5 mm) kalınlığında </w:t>
      </w:r>
      <w:r w:rsidRPr="003945F6">
        <w:rPr>
          <w:rFonts w:ascii="Times New Roman" w:hAnsi="Times New Roman"/>
          <w:sz w:val="24"/>
          <w:szCs w:val="24"/>
        </w:rPr>
        <w:t xml:space="preserve">AISI 304 kalite (EN IS0 1127) </w:t>
      </w:r>
      <w:r w:rsidR="003945F6">
        <w:rPr>
          <w:rFonts w:ascii="Times New Roman" w:hAnsi="Times New Roman"/>
          <w:sz w:val="24"/>
          <w:szCs w:val="24"/>
        </w:rPr>
        <w:t xml:space="preserve">malzemeden </w:t>
      </w:r>
      <w:r w:rsidRPr="003945F6">
        <w:rPr>
          <w:rFonts w:ascii="Times New Roman" w:hAnsi="Times New Roman"/>
          <w:sz w:val="24"/>
          <w:szCs w:val="24"/>
          <w:shd w:val="clear" w:color="auto" w:fill="FFFFFF" w:themeFill="background1"/>
        </w:rPr>
        <w:t>imâl</w:t>
      </w:r>
      <w:r w:rsidRPr="00C648B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edilmelidir. Kolların her biri turnikenin rotor (geçişi sağlayan orta</w:t>
      </w:r>
      <w:r w:rsidRPr="00C648B5">
        <w:rPr>
          <w:rFonts w:ascii="Times New Roman" w:hAnsi="Times New Roman"/>
          <w:sz w:val="24"/>
          <w:szCs w:val="24"/>
        </w:rPr>
        <w:t xml:space="preserve"> kısmına) vidalı bağlantı şeklinde değil, mukavemeti artırmak için kaynaklı yapıda olmalıdır.</w:t>
      </w:r>
    </w:p>
    <w:p w:rsidR="00532D7E" w:rsidRPr="00034DE1" w:rsidRDefault="003945F6" w:rsidP="003945F6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Rotor üzerindeki k</w:t>
      </w:r>
      <w:r w:rsidR="00532D7E" w:rsidRPr="00034DE1">
        <w:rPr>
          <w:rFonts w:ascii="Times New Roman" w:hAnsi="Times New Roman"/>
          <w:sz w:val="24"/>
          <w:szCs w:val="24"/>
        </w:rPr>
        <w:t xml:space="preserve">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3945F6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3444B0">
        <w:rPr>
          <w:rFonts w:ascii="Times New Roman" w:hAnsi="Times New Roman"/>
          <w:sz w:val="24"/>
          <w:szCs w:val="24"/>
        </w:rPr>
        <w:t>5</w:t>
      </w:r>
      <w:r w:rsidR="008621D1" w:rsidRPr="00034DE1">
        <w:rPr>
          <w:rFonts w:ascii="Times New Roman" w:hAnsi="Times New Roman"/>
          <w:sz w:val="24"/>
          <w:szCs w:val="24"/>
        </w:rPr>
        <w:t>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A8104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945F6" w:rsidRDefault="003945F6" w:rsidP="003945F6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3945F6" w:rsidRPr="003945F6" w:rsidRDefault="003945F6" w:rsidP="003945F6">
      <w:pPr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C55F9F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C55F9F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3945F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C55F9F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624CEC" w:rsidRPr="00034DE1">
        <w:rPr>
          <w:rFonts w:ascii="Times New Roman" w:hAnsi="Times New Roman" w:cs="Times New Roman"/>
          <w:sz w:val="24"/>
          <w:szCs w:val="24"/>
        </w:rPr>
        <w:t>i  filtreli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41" w:rsidRDefault="00A81041" w:rsidP="008F0BDE">
      <w:pPr>
        <w:spacing w:after="0" w:line="240" w:lineRule="auto"/>
      </w:pPr>
      <w:r>
        <w:separator/>
      </w:r>
    </w:p>
  </w:endnote>
  <w:endnote w:type="continuationSeparator" w:id="0">
    <w:p w:rsidR="00A81041" w:rsidRDefault="00A81041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DB04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04A5">
              <w:rPr>
                <w:b/>
                <w:sz w:val="24"/>
                <w:szCs w:val="24"/>
              </w:rPr>
              <w:fldChar w:fldCharType="separate"/>
            </w:r>
            <w:r w:rsidR="0037088E">
              <w:rPr>
                <w:b/>
                <w:noProof/>
              </w:rPr>
              <w:t>1</w:t>
            </w:r>
            <w:r w:rsidR="00DB04A5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DB04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04A5">
              <w:rPr>
                <w:b/>
                <w:sz w:val="24"/>
                <w:szCs w:val="24"/>
              </w:rPr>
              <w:fldChar w:fldCharType="separate"/>
            </w:r>
            <w:r w:rsidR="0037088E">
              <w:rPr>
                <w:b/>
                <w:noProof/>
              </w:rPr>
              <w:t>2</w:t>
            </w:r>
            <w:r w:rsidR="00DB04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41" w:rsidRDefault="00A81041" w:rsidP="008F0BDE">
      <w:pPr>
        <w:spacing w:after="0" w:line="240" w:lineRule="auto"/>
      </w:pPr>
      <w:r>
        <w:separator/>
      </w:r>
    </w:p>
  </w:footnote>
  <w:footnote w:type="continuationSeparator" w:id="0">
    <w:p w:rsidR="00A81041" w:rsidRDefault="00A81041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769E"/>
    <w:rsid w:val="000E1C60"/>
    <w:rsid w:val="000F14D4"/>
    <w:rsid w:val="00140089"/>
    <w:rsid w:val="00140D61"/>
    <w:rsid w:val="00176044"/>
    <w:rsid w:val="001B037F"/>
    <w:rsid w:val="001C045B"/>
    <w:rsid w:val="001F5888"/>
    <w:rsid w:val="00204500"/>
    <w:rsid w:val="002055EF"/>
    <w:rsid w:val="002228F5"/>
    <w:rsid w:val="00261078"/>
    <w:rsid w:val="0027324C"/>
    <w:rsid w:val="00290B94"/>
    <w:rsid w:val="002A61DB"/>
    <w:rsid w:val="002E01E2"/>
    <w:rsid w:val="002F60CA"/>
    <w:rsid w:val="00303DD8"/>
    <w:rsid w:val="003444B0"/>
    <w:rsid w:val="0037088E"/>
    <w:rsid w:val="003945F6"/>
    <w:rsid w:val="00394746"/>
    <w:rsid w:val="003B5473"/>
    <w:rsid w:val="003F657D"/>
    <w:rsid w:val="00401F89"/>
    <w:rsid w:val="00423E17"/>
    <w:rsid w:val="00424610"/>
    <w:rsid w:val="004374D8"/>
    <w:rsid w:val="004764C7"/>
    <w:rsid w:val="004E5895"/>
    <w:rsid w:val="004F7365"/>
    <w:rsid w:val="00532D7E"/>
    <w:rsid w:val="00554DD6"/>
    <w:rsid w:val="005850DF"/>
    <w:rsid w:val="005E7A8D"/>
    <w:rsid w:val="00624CEC"/>
    <w:rsid w:val="00640EBB"/>
    <w:rsid w:val="00653F09"/>
    <w:rsid w:val="0068000D"/>
    <w:rsid w:val="00685292"/>
    <w:rsid w:val="006A5E1F"/>
    <w:rsid w:val="00772AFF"/>
    <w:rsid w:val="00777817"/>
    <w:rsid w:val="007814B1"/>
    <w:rsid w:val="007A56B4"/>
    <w:rsid w:val="007D4480"/>
    <w:rsid w:val="00817008"/>
    <w:rsid w:val="008621D1"/>
    <w:rsid w:val="00873023"/>
    <w:rsid w:val="0089065C"/>
    <w:rsid w:val="008D2B29"/>
    <w:rsid w:val="008F0BDE"/>
    <w:rsid w:val="008F3139"/>
    <w:rsid w:val="00931071"/>
    <w:rsid w:val="00933779"/>
    <w:rsid w:val="009A5E18"/>
    <w:rsid w:val="00A15769"/>
    <w:rsid w:val="00A32091"/>
    <w:rsid w:val="00A81041"/>
    <w:rsid w:val="00AB6C18"/>
    <w:rsid w:val="00AD1D8E"/>
    <w:rsid w:val="00B451FC"/>
    <w:rsid w:val="00B7123D"/>
    <w:rsid w:val="00B77616"/>
    <w:rsid w:val="00BA0B6E"/>
    <w:rsid w:val="00C23D3B"/>
    <w:rsid w:val="00C27679"/>
    <w:rsid w:val="00C55F9F"/>
    <w:rsid w:val="00C642FB"/>
    <w:rsid w:val="00C907DE"/>
    <w:rsid w:val="00CA7C91"/>
    <w:rsid w:val="00CB3E0F"/>
    <w:rsid w:val="00D10964"/>
    <w:rsid w:val="00D4096C"/>
    <w:rsid w:val="00DA75C9"/>
    <w:rsid w:val="00DB04A5"/>
    <w:rsid w:val="00DD2B3F"/>
    <w:rsid w:val="00DF4AB7"/>
    <w:rsid w:val="00E06767"/>
    <w:rsid w:val="00F05450"/>
    <w:rsid w:val="00F13172"/>
    <w:rsid w:val="00F703BF"/>
    <w:rsid w:val="00F8074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D10E1C50-D9CF-4559-A84B-0421AC6B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9</cp:revision>
  <dcterms:created xsi:type="dcterms:W3CDTF">2018-02-10T13:30:00Z</dcterms:created>
  <dcterms:modified xsi:type="dcterms:W3CDTF">2020-05-13T17:55:00Z</dcterms:modified>
</cp:coreProperties>
</file>